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KORRALDUS</w:t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  <w:t>Suure-Jaani</w:t>
        <w:tab/>
        <w:tab/>
        <w:tab/>
        <w:tab/>
        <w:tab/>
        <w:tab/>
        <w:tab/>
        <w:tab/>
        <w:t>10. märts 2025 nr 168</w:t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Suure-Jaani Kooli teenuste hinnakiri</w:t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color w:val="171717"/>
          <w:szCs w:val="24"/>
          <w:shd w:fill="FFFFFF" w:val="clear"/>
        </w:rPr>
      </w:pPr>
      <w:r>
        <w:rPr>
          <w:rFonts w:ascii="Times New Roman" w:hAnsi="Times New Roman"/>
          <w:szCs w:val="24"/>
        </w:rPr>
        <w:t>Aluseks võttes kohaliku omavalitsuse korralduse seaduse paragrahvi 30 lõiget 3</w:t>
      </w:r>
      <w:r>
        <w:rPr>
          <w:rFonts w:ascii="Times New Roman" w:hAnsi="Times New Roman"/>
          <w:color w:val="171717"/>
          <w:szCs w:val="24"/>
          <w:shd w:fill="FFFFFF" w:val="clear"/>
        </w:rPr>
        <w:t>,</w:t>
      </w:r>
    </w:p>
    <w:p>
      <w:pPr>
        <w:pStyle w:val="Normal"/>
        <w:bidi w:val="0"/>
        <w:ind w:hanging="0" w:start="0" w:end="0"/>
        <w:rPr>
          <w:rFonts w:ascii="Times New Roman" w:hAnsi="Times New Roman"/>
          <w:color w:val="171717"/>
          <w:szCs w:val="24"/>
          <w:shd w:fill="FFFFFF" w:val="clear"/>
        </w:rPr>
      </w:pPr>
      <w:r>
        <w:rPr>
          <w:rFonts w:ascii="Times New Roman" w:hAnsi="Times New Roman"/>
          <w:color w:val="171717"/>
          <w:szCs w:val="24"/>
          <w:shd w:fill="FFFFFF" w:val="clear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  <w:t>1. Kehtestada alates 01.04.2025. a Suure-Jaani Kooli ruumides sporditegevuste: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</w:rPr>
        <w:t xml:space="preserve">1.1 </w:t>
      </w:r>
      <w:r>
        <w:rPr>
          <w:rFonts w:ascii="Times New Roman" w:hAnsi="Times New Roman"/>
          <w:szCs w:val="24"/>
          <w:lang w:eastAsia="et-EE"/>
        </w:rPr>
        <w:t>üksikpileti hind 2 eurot;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  <w:t>1.2 ühe huviringi kuupilet 12 eurot.</w:t>
      </w:r>
    </w:p>
    <w:p>
      <w:pPr>
        <w:pStyle w:val="Normal"/>
        <w:bidi w:val="0"/>
        <w:ind w:hanging="0" w:start="0" w:end="0"/>
        <w:rPr>
          <w:rFonts w:ascii="Times New Roman" w:hAnsi="Times New Roman"/>
          <w:i/>
          <w:i/>
          <w:iCs/>
          <w:szCs w:val="24"/>
          <w:lang w:eastAsia="et-EE"/>
        </w:rPr>
      </w:pPr>
      <w:r>
        <w:rPr>
          <w:rFonts w:ascii="Times New Roman" w:hAnsi="Times New Roman"/>
          <w:i/>
          <w:iCs/>
          <w:szCs w:val="24"/>
          <w:lang w:eastAsia="et-EE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  <w:t>2. Punktis 1 nimetatud hinda ei rakendata:</w:t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  <w:t>2.1 õpilastele kuni 19. a (kaasa arvatud);</w:t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  <w:t>2.2 pensionäridele</w:t>
      </w:r>
      <w:r>
        <w:rPr>
          <w:rFonts w:ascii="Times New Roman" w:hAnsi="Times New Roman"/>
          <w:szCs w:val="24"/>
          <w:lang w:eastAsia="et-EE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bidi w:val="0"/>
        <w:ind w:hanging="0" w:start="0" w:end="0"/>
        <w:rPr>
          <w:rFonts w:ascii="Times New Roman" w:hAnsi="Times New Roman"/>
          <w:color w:val="171717"/>
          <w:szCs w:val="24"/>
          <w:shd w:fill="FFFFFF" w:val="clear"/>
        </w:rPr>
      </w:pPr>
      <w:r>
        <w:rPr>
          <w:rFonts w:ascii="Times New Roman" w:hAnsi="Times New Roman"/>
          <w:color w:val="171717"/>
          <w:szCs w:val="24"/>
          <w:shd w:fill="FFFFFF" w:val="clear"/>
        </w:rPr>
      </w:r>
    </w:p>
    <w:p>
      <w:pPr>
        <w:pStyle w:val="ListParagraph"/>
        <w:tabs>
          <w:tab w:val="clear" w:pos="708"/>
          <w:tab w:val="left" w:pos="284" w:leader="none"/>
        </w:tabs>
        <w:bidi w:val="0"/>
        <w:ind w:hanging="0" w:start="0" w:end="0"/>
        <w:rPr>
          <w:rFonts w:ascii="Times New Roman" w:hAnsi="Times New Roman"/>
          <w:color w:val="171717"/>
          <w:szCs w:val="24"/>
          <w:shd w:fill="FFFFFF" w:val="clear"/>
        </w:rPr>
      </w:pPr>
      <w:r>
        <w:rPr>
          <w:rFonts w:ascii="Times New Roman" w:hAnsi="Times New Roman"/>
        </w:rPr>
        <w:t>3. Kehtestada alates 01.04.2025. a Suure-Jaani Kooli teenuste hinnakiri:</w:t>
      </w:r>
    </w:p>
    <w:tbl>
      <w:tblPr>
        <w:tblW w:w="8143" w:type="dxa"/>
        <w:jc w:val="start"/>
        <w:tblInd w:w="8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3170"/>
        <w:gridCol w:w="2880"/>
        <w:gridCol w:w="1032"/>
        <w:gridCol w:w="1060"/>
      </w:tblGrid>
      <w:tr>
        <w:trPr>
          <w:trHeight w:val="6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Liik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Teenus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Aeg (minutid)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Hind (€)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Jõusaali kasutamine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Jõusaal (1 inimene)</w:t>
            </w:r>
          </w:p>
        </w:tc>
        <w:tc>
          <w:tcPr>
            <w:tcW w:w="10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90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10-korra kaart (kehtib 1,5 kuud)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Jõusaal (1 inimene)</w:t>
            </w:r>
          </w:p>
        </w:tc>
        <w:tc>
          <w:tcPr>
            <w:tcW w:w="10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90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26</w:t>
            </w:r>
          </w:p>
        </w:tc>
      </w:tr>
      <w:tr>
        <w:trPr>
          <w:trHeight w:val="9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Treening toimub väljaspool spordihoonet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Riietus- ja duširuumi kasutamine eraldi teenusena</w:t>
            </w:r>
          </w:p>
        </w:tc>
        <w:tc>
          <w:tcPr>
            <w:tcW w:w="10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 w:val="22"/>
                <w:szCs w:val="22"/>
                <w:lang w:eastAsia="et-EE"/>
              </w:rPr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Võimla treeninguteks kasutamine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Harjutusväljak, 1/3 suurest saalist</w:t>
            </w:r>
          </w:p>
        </w:tc>
        <w:tc>
          <w:tcPr>
            <w:tcW w:w="10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Harjutusväljak, 2/3 suurest saalist</w:t>
            </w:r>
          </w:p>
        </w:tc>
        <w:tc>
          <w:tcPr>
            <w:tcW w:w="1032" w:type="dxa"/>
            <w:tcBorders>
              <w:start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Kogu võimla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Maadlussaal</w:t>
            </w:r>
          </w:p>
        </w:tc>
        <w:tc>
          <w:tcPr>
            <w:tcW w:w="10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Võistlusteks kasutamine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Võistluse korraldamine kogu suures saalis</w:t>
            </w:r>
          </w:p>
        </w:tc>
        <w:tc>
          <w:tcPr>
            <w:tcW w:w="10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Võistluse korraldamine maadlussaalis</w:t>
            </w:r>
          </w:p>
        </w:tc>
        <w:tc>
          <w:tcPr>
            <w:tcW w:w="103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Majutus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Majutus (1 inimene 1 öö)</w:t>
            </w:r>
          </w:p>
        </w:tc>
        <w:tc>
          <w:tcPr>
            <w:tcW w:w="103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Toitlustus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3 toidukorda (1 inimene)</w:t>
            </w:r>
          </w:p>
        </w:tc>
        <w:tc>
          <w:tcPr>
            <w:tcW w:w="1032" w:type="dxa"/>
            <w:tcBorders>
              <w:start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Õpilaslõuna (1 inimene)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Kohvipaus (kohv, küpsised; 1 inimene)</w:t>
            </w:r>
          </w:p>
        </w:tc>
        <w:tc>
          <w:tcPr>
            <w:tcW w:w="1032" w:type="dxa"/>
            <w:tcBorders>
              <w:star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Söökla kasutamine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 xml:space="preserve">Sünnipäevad ja muud üritused 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Sauna kasutamine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top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Täiskasvanud (üksikisik)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Lapsed ja pensionärid (üksikisik)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Saun (eelneva broneeringuga)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Helisüsteemi kasutamine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Võimlas</w:t>
            </w:r>
          </w:p>
        </w:tc>
        <w:tc>
          <w:tcPr>
            <w:tcW w:w="1032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Aulas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Aula kasutamine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Kontserdid, banketid, koosolekud</w:t>
            </w:r>
          </w:p>
        </w:tc>
        <w:tc>
          <w:tcPr>
            <w:tcW w:w="1032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Klassiruumide kasutamine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1 inimene</w:t>
            </w:r>
          </w:p>
        </w:tc>
        <w:tc>
          <w:tcPr>
            <w:tcW w:w="1032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Ööpäevaringne kasutamine</w:t>
            </w:r>
          </w:p>
        </w:tc>
        <w:tc>
          <w:tcPr>
            <w:tcW w:w="1032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Konverentsisaali kasutamine</w:t>
            </w:r>
          </w:p>
        </w:tc>
        <w:tc>
          <w:tcPr>
            <w:tcW w:w="28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Konverentsid, loengud</w:t>
            </w:r>
          </w:p>
        </w:tc>
        <w:tc>
          <w:tcPr>
            <w:tcW w:w="1032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szCs w:val="24"/>
                <w:lang w:eastAsia="et-EE"/>
              </w:rPr>
              <w:t>Koolibussi kasutamine</w:t>
            </w:r>
          </w:p>
        </w:tc>
        <w:tc>
          <w:tcPr>
            <w:tcW w:w="2880" w:type="dxa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 </w:t>
            </w:r>
          </w:p>
        </w:tc>
        <w:tc>
          <w:tcPr>
            <w:tcW w:w="1032" w:type="dxa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Kooli kütusega (€/km)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  <w:tc>
          <w:tcPr>
            <w:tcW w:w="288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Päevarent (buss tagastatakse täis paagiga)</w:t>
            </w:r>
          </w:p>
        </w:tc>
        <w:tc>
          <w:tcPr>
            <w:tcW w:w="1032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70</w:t>
            </w:r>
          </w:p>
        </w:tc>
      </w:tr>
    </w:tbl>
    <w:p>
      <w:pPr>
        <w:pStyle w:val="Normal"/>
        <w:bidi w:val="0"/>
        <w:ind w:hanging="0" w:start="0" w:end="0"/>
        <w:rPr>
          <w:rFonts w:ascii="Times New Roman" w:hAnsi="Times New Roman"/>
          <w:color w:val="171717"/>
          <w:szCs w:val="24"/>
          <w:shd w:fill="FFFFFF" w:val="clear"/>
        </w:rPr>
      </w:pPr>
      <w:r>
        <w:rPr>
          <w:rFonts w:ascii="Times New Roman" w:hAnsi="Times New Roman"/>
          <w:color w:val="171717"/>
          <w:szCs w:val="24"/>
          <w:shd w:fill="FFFFFF" w:val="clear"/>
        </w:rPr>
      </w:r>
    </w:p>
    <w:p>
      <w:pPr>
        <w:pStyle w:val="Normal"/>
        <w:bidi w:val="0"/>
        <w:ind w:hanging="0" w:start="0" w:end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bookmarkStart w:id="0" w:name="_Hlk131420445"/>
      <w:r>
        <w:rPr>
          <w:rFonts w:ascii="Times New Roman" w:hAnsi="Times New Roman"/>
        </w:rPr>
        <w:t>Kehtestada alates 01.04.2025. a Suure-Jaani Kooli Tääksi tegutsemiskoha teenuste hinnakiri</w:t>
      </w:r>
      <w:bookmarkEnd w:id="0"/>
      <w:r>
        <w:rPr>
          <w:rFonts w:ascii="Times New Roman" w:hAnsi="Times New Roman"/>
        </w:rPr>
        <w:t>:</w:t>
      </w:r>
    </w:p>
    <w:tbl>
      <w:tblPr>
        <w:tblW w:w="833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900"/>
        <w:gridCol w:w="4304"/>
        <w:gridCol w:w="1189"/>
        <w:gridCol w:w="936"/>
      </w:tblGrid>
      <w:tr>
        <w:trPr>
          <w:trHeight w:val="9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Liik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Teenus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Aeg (minutid)</w:t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Hind (€)</w:t>
            </w:r>
          </w:p>
        </w:tc>
      </w:tr>
      <w:tr>
        <w:trPr>
          <w:trHeight w:val="300" w:hRule="atLeast"/>
        </w:trPr>
        <w:tc>
          <w:tcPr>
            <w:tcW w:w="62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Klassiruumi kasutamine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1 inimene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Ööpäevaringne (1 inimene)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Toitlustamine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3 toidukorda (üks inimene)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Kohvipaus (kohv, küpsised; 1 inimene)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Õpilaslõuna (1 inimene)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Söökla kasutamine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Sünnipäev või muu üritus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2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Terve koolimaja kasutamine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Ilma võimlata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bookmarkStart w:id="1" w:name="_Hlk131420179"/>
      <w:bookmarkEnd w:id="1"/>
      <w:r>
        <w:rPr>
          <w:rFonts w:ascii="Times New Roman" w:hAnsi="Times New Roman"/>
        </w:rPr>
        <w:t>5. Kehtestada alates 01.04.2025. a Suure-Jaani Kooli Sürgavere tegutsemiskoha teenuste hinnakiri: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bookmarkStart w:id="2" w:name="_Hlk131420179"/>
      <w:bookmarkStart w:id="3" w:name="_Hlk131420179"/>
      <w:bookmarkEnd w:id="3"/>
    </w:p>
    <w:tbl>
      <w:tblPr>
        <w:tblW w:w="9039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95"/>
        <w:gridCol w:w="4276"/>
        <w:gridCol w:w="1274"/>
        <w:gridCol w:w="993"/>
      </w:tblGrid>
      <w:tr>
        <w:trPr>
          <w:trHeight w:val="9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Liik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Teenus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Aeg (minutid)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Hind (€)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Klassiruumide kasutamine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1 inimene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Ööpäevaringne (1 inimene)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Toitlustamine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3 toidukorda (1 inimene)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 xml:space="preserve">Kohvipaus (kohv, küpsised; 1 inimene) 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Õpilaslõuna (1 inimene)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Söökla kasutamine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Sünnipäev või muu üritus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Saali kasutamine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Koosolek, konverents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7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Terve koolimaja kasutamine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szCs w:val="24"/>
          <w:lang w:eastAsia="et-EE"/>
        </w:rPr>
        <w:t>Korraldus jõustub teatavakstegemisest.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et-EE"/>
        </w:rPr>
        <w:t xml:space="preserve">7. Tunnistada kehtetuks </w:t>
      </w:r>
      <w:r>
        <w:rPr>
          <w:rFonts w:ascii="Times New Roman" w:hAnsi="Times New Roman"/>
          <w:color w:val="000000"/>
          <w:szCs w:val="24"/>
          <w:lang w:eastAsia="zh-CN"/>
        </w:rPr>
        <w:t xml:space="preserve">Põhja-Sakala Vallavalitsuse </w:t>
      </w:r>
      <w:r>
        <w:rPr>
          <w:rFonts w:ascii="Times New Roman" w:hAnsi="Times New Roman"/>
        </w:rPr>
        <w:t>18.04.2023. a korraldus nr 255 „Suure-Jaani Kooli teenuste hinnad“.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Korraldusega mittenõustumisel võib esitada vaide Põhja-Sakala Vallavalitsusele (aadressil pohja-sakala@pohja-sakala.ee või Lembitu pst 42; 71502 Suure-Jaani linn, Põhja-Sakala vald, Viljandi maakond) või kaebuse Tartu Halduskohtule (aadressil trthktartu.menetlus@kohus.ee või Kalevi 1, 51010 Tartu linn) 30 päeva jooksul korraldusest teadasaamisest arvates.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i/>
          <w:i/>
          <w:szCs w:val="24"/>
          <w:lang w:eastAsia="et-EE"/>
        </w:rPr>
      </w:pPr>
      <w:r>
        <w:rPr>
          <w:rFonts w:ascii="Times New Roman" w:hAnsi="Times New Roman"/>
          <w:i/>
          <w:szCs w:val="24"/>
          <w:lang w:eastAsia="et-EE"/>
        </w:rPr>
        <w:t>allkirjastatud digitaalselt</w:t>
        <w:tab/>
        <w:tab/>
        <w:tab/>
        <w:tab/>
        <w:tab/>
        <w:t>allkirjastatud digitaalselt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  <w:t>Karel Tölp</w:t>
        <w:tab/>
        <w:tab/>
        <w:tab/>
        <w:tab/>
        <w:tab/>
        <w:tab/>
        <w:tab/>
        <w:t>Veronika Ling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  <w:t>vallavanem</w:t>
        <w:tab/>
        <w:tab/>
        <w:tab/>
        <w:tab/>
        <w:tab/>
        <w:tab/>
        <w:tab/>
        <w:t>vallasekretär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Saata: Suure-Jaani Kool, pearaamatupidaja Sirje Ojalo, teabespetsialist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0" w:top="680" w:footer="238" w:bottom="68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auto"/>
    <w:pitch w:val="variable"/>
  </w:font>
  <w:font w:name="Times New Roman">
    <w:charset w:val="00" w:characterSet="windows-1252"/>
    <w:family w:val="auto"/>
    <w:pitch w:val="variable"/>
  </w:font>
  <w:font w:name="Tahoma">
    <w:charset w:val="00" w:characterSet="windows-1252"/>
    <w:family w:val="auto"/>
    <w:pitch w:val="variable"/>
  </w:font>
  <w:font w:name="Courier New"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hanging="0" w:start="0" w:end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Paneel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bidi w:val="0"/>
                            <w:ind w:hanging="0" w:start="0" w:end="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t>0</w:t>
                          </w: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bidi w:val="0"/>
                      <w:ind w:hanging="0" w:start="0" w:end="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lang w:val="et-EE" w:eastAsia="en-US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et-EE" w:eastAsia="en-US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et-EE" w:eastAsia="en-US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et-EE" w:eastAsia="en-US" w:bidi="ar-SA"/>
                      </w:rPr>
                      <w:t>0</w:t>
                    </w:r>
                    <w:r>
                      <w:rPr>
                        <w:rStyle w:val="PageNumber"/>
                        <w:lang w:val="et-EE" w:eastAsia="en-US" w:bidi="ar-SA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hanging="0" w:start="0" w:end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31445"/>
              <wp:effectExtent l="0" t="0" r="0" b="0"/>
              <wp:wrapSquare wrapText="bothSides"/>
              <wp:docPr id="3" name="Paneel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bidi w:val="0"/>
                            <w:ind w:hanging="0" w:start="0" w:end="0"/>
                            <w:rPr>
                              <w:rStyle w:val="PageNumber"/>
                              <w:sz w:val="18"/>
                            </w:rPr>
                          </w:pP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0.35pt;mso-wrap-distance-left:0pt;mso-wrap-distance-right:0pt;mso-wrap-distance-top:0pt;mso-wrap-distance-bottom:0pt;margin-top:0pt;mso-position-vertical-relative:text;margin-left:231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bidi w:val="0"/>
                      <w:ind w:hanging="0" w:start="0" w:end="0"/>
                      <w:rPr>
                        <w:rStyle w:val="PageNumber"/>
                        <w:sz w:val="18"/>
                      </w:rPr>
                    </w:pP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t>3</w:t>
                    </w: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bidi w:val="0"/>
      <w:jc w:val="start"/>
      <w:textAlignment w:val="auto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bidi w:val="0"/>
      <w:jc w:val="start"/>
      <w:textAlignment w:val="aut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start="0" w:end="0"/>
      <w:rPr/>
    </w:pPr>
    <w:r>
      <w:rPr/>
    </w:r>
  </w:p>
  <w:p>
    <w:pPr>
      <w:pStyle w:val="Header"/>
      <w:bidi w:val="0"/>
      <w:ind w:hanging="0" w:start="0" w:end="0"/>
      <w:rPr/>
    </w:pPr>
    <w:r>
      <w:rPr/>
    </w:r>
  </w:p>
  <w:p>
    <w:pPr>
      <w:pStyle w:val="Header"/>
      <w:bidi w:val="0"/>
      <w:ind w:hanging="0" w:start="0" w:end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start="0" w:end="0"/>
      <w:rPr/>
    </w:pPr>
    <w:r>
      <w:rPr/>
    </w:r>
  </w:p>
  <w:p>
    <w:pPr>
      <w:pStyle w:val="Header"/>
      <w:bidi w:val="0"/>
      <w:ind w:hanging="0" w:start="0" w:end="0"/>
      <w:jc w:val="center"/>
      <w:rPr/>
    </w:pPr>
    <w:r>
      <w:rPr/>
    </w:r>
  </w:p>
  <w:p>
    <w:pPr>
      <w:pStyle w:val="Header"/>
      <w:bidi w:val="0"/>
      <w:ind w:hanging="0" w:start="0" w:end="0"/>
      <w:jc w:val="center"/>
      <w:rPr/>
    </w:pPr>
    <w:r>
      <w:rPr/>
      <w:drawing>
        <wp:inline distT="0" distB="0" distL="0" distR="0">
          <wp:extent cx="724535" cy="895350"/>
          <wp:effectExtent l="0" t="0" r="0" b="0"/>
          <wp:docPr id="1" name="Pilt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bidi w:val="0"/>
      <w:ind w:hanging="0" w:start="0" w:end="0"/>
      <w:jc w:val="center"/>
      <w:rPr>
        <w:sz w:val="20"/>
      </w:rPr>
    </w:pPr>
    <w:r>
      <w:rPr>
        <w:sz w:val="20"/>
      </w:rPr>
    </w:r>
  </w:p>
  <w:p>
    <w:pPr>
      <w:pStyle w:val="Header"/>
      <w:bidi w:val="0"/>
      <w:ind w:hanging="0" w:start="0" w:end="0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PÕHJA-SAKALA VALLAVALITSUS</w:t>
    </w:r>
  </w:p>
  <w:p>
    <w:pPr>
      <w:pStyle w:val="Header"/>
      <w:bidi w:val="0"/>
      <w:ind w:hanging="0" w:start="0" w:end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24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Arial" w:hAnsi="Arial" w:eastAsia="Courier New" w:cs="Times New Roman"/>
      <w:color w:val="auto"/>
      <w:kern w:val="2"/>
      <w:sz w:val="24"/>
      <w:szCs w:val="20"/>
      <w:lang w:val="et-EE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widowControl/>
      <w:jc w:val="both"/>
      <w:textAlignment w:val="auto"/>
      <w:outlineLvl w:val="1"/>
    </w:pPr>
    <w:rPr>
      <w:rFonts w:cs="Times New Roman"/>
      <w:b/>
      <w:bCs/>
      <w:sz w:val="24"/>
      <w:szCs w:val="20"/>
      <w:lang w:val="et-EE" w:eastAsia="en-US" w:bidi="ar-SA"/>
    </w:rPr>
  </w:style>
  <w:style w:type="character" w:styleId="DefaultParagraphFont">
    <w:name w:val="Default Paragraph Font"/>
    <w:qFormat/>
    <w:rPr/>
  </w:style>
  <w:style w:type="character" w:styleId="Pealkiri2Mrk">
    <w:name w:val="Pealkiri 2 Märk"/>
    <w:basedOn w:val="DefaultParagraphFont"/>
    <w:qFormat/>
    <w:rPr>
      <w:rFonts w:ascii="Times New Roman" w:hAnsi="Times New Roman"/>
      <w:b/>
      <w:bCs/>
      <w:szCs w:val="24"/>
      <w:lang w:val="en-US"/>
    </w:rPr>
  </w:style>
  <w:style w:type="character" w:styleId="PisMrk">
    <w:name w:val="Päis Märk"/>
    <w:basedOn w:val="DefaultParagraphFont"/>
    <w:qFormat/>
    <w:rPr>
      <w:szCs w:val="24"/>
      <w:lang w:val="en-US"/>
    </w:rPr>
  </w:style>
  <w:style w:type="character" w:styleId="JalusMrk">
    <w:name w:val="Jalus Märk"/>
    <w:basedOn w:val="DefaultParagraphFont"/>
    <w:qFormat/>
    <w:rPr>
      <w:szCs w:val="24"/>
      <w:lang w:val="en-US"/>
    </w:rPr>
  </w:style>
  <w:style w:type="character" w:styleId="PageNumber">
    <w:name w:val="page number"/>
    <w:basedOn w:val="DefaultParagraphFont"/>
    <w:rPr>
      <w:rFonts w:ascii="Times New Roman" w:hAnsi="Times New Roman"/>
      <w:sz w:val="24"/>
      <w:szCs w:val="24"/>
    </w:rPr>
  </w:style>
  <w:style w:type="character" w:styleId="JutumullitekstMrk">
    <w:name w:val="Jutumullitekst Märk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styleId="KehatekstMrk">
    <w:name w:val="Kehatekst Märk"/>
    <w:basedOn w:val="DefaultParagraphFont"/>
    <w:qFormat/>
    <w:rPr>
      <w:rFonts w:ascii="Times New Roman" w:hAnsi="Times New Roman"/>
      <w:b/>
      <w:szCs w:val="24"/>
      <w:lang w:val="en-US"/>
    </w:rPr>
  </w:style>
  <w:style w:type="character" w:styleId="InternetLink">
    <w:name w:val="Internet Link"/>
    <w:basedOn w:val="DefaultParagraphFont"/>
    <w:qFormat/>
    <w:rPr>
      <w:rFonts w:ascii="Times New Roman" w:hAnsi="Times New Roman"/>
      <w:color w:val="0000FF"/>
      <w:sz w:val="24"/>
      <w:szCs w:val="24"/>
      <w:u w:val="single"/>
    </w:rPr>
  </w:style>
  <w:style w:type="character" w:styleId="HTML-eelvormindatudMrk">
    <w:name w:val="HTML-eelvormindatud Märk"/>
    <w:basedOn w:val="DefaultParagraphFont"/>
    <w:qFormat/>
    <w:rPr>
      <w:rFonts w:ascii="Courier New" w:hAnsi="Courier New" w:cs="Courier New"/>
      <w:sz w:val="24"/>
      <w:szCs w:val="24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jc w:val="start"/>
      <w:textAlignment w:val="auto"/>
    </w:pPr>
    <w:rPr>
      <w:rFonts w:cs="Times New Roman"/>
      <w:b/>
      <w:sz w:val="24"/>
      <w:szCs w:val="20"/>
      <w:lang w:val="en-U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et-EE" w:eastAsia="et-EE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8"/>
        <w:tab w:val="center" w:pos="4153" w:leader="none"/>
        <w:tab w:val="right" w:pos="8306" w:leader="none"/>
      </w:tabs>
      <w:jc w:val="start"/>
      <w:textAlignment w:val="auto"/>
    </w:pPr>
    <w:rPr>
      <w:rFonts w:ascii="Arial" w:hAnsi="Arial" w:cs="Times New Roman"/>
      <w:sz w:val="24"/>
      <w:szCs w:val="20"/>
      <w:lang w:val="et-EE" w:eastAsia="en-US" w:bidi="ar-SA"/>
    </w:rPr>
  </w:style>
  <w:style w:type="paragraph" w:styleId="Footer">
    <w:name w:val="footer"/>
    <w:basedOn w:val="Normal"/>
    <w:pPr>
      <w:widowControl/>
      <w:tabs>
        <w:tab w:val="clear" w:pos="708"/>
        <w:tab w:val="center" w:pos="4153" w:leader="none"/>
        <w:tab w:val="right" w:pos="8306" w:leader="none"/>
      </w:tabs>
      <w:jc w:val="start"/>
      <w:textAlignment w:val="auto"/>
    </w:pPr>
    <w:rPr>
      <w:rFonts w:ascii="Arial" w:hAnsi="Arial" w:cs="Times New Roman"/>
      <w:sz w:val="24"/>
      <w:szCs w:val="20"/>
      <w:lang w:val="et-EE" w:eastAsia="en-US" w:bidi="ar-SA"/>
    </w:rPr>
  </w:style>
  <w:style w:type="paragraph" w:styleId="BalloonText">
    <w:name w:val="Balloon Text"/>
    <w:basedOn w:val="Normal"/>
    <w:qFormat/>
    <w:pPr>
      <w:widowControl/>
      <w:jc w:val="start"/>
      <w:textAlignment w:val="auto"/>
    </w:pPr>
    <w:rPr>
      <w:rFonts w:ascii="Tahoma" w:hAnsi="Tahoma" w:cs="Tahoma"/>
      <w:sz w:val="16"/>
      <w:szCs w:val="16"/>
      <w:lang w:val="et-EE" w:eastAsia="en-US" w:bidi="ar-SA"/>
    </w:rPr>
  </w:style>
  <w:style w:type="paragraph" w:styleId="Default">
    <w:name w:val="Default"/>
    <w:qFormat/>
    <w:pPr>
      <w:widowControl/>
      <w:bidi w:val="0"/>
      <w:jc w:val="star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et-EE" w:eastAsia="et-EE"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start"/>
      <w:textAlignment w:val="auto"/>
    </w:pPr>
    <w:rPr>
      <w:rFonts w:ascii="Courier New" w:hAnsi="Courier New" w:cs="Courier New"/>
      <w:sz w:val="20"/>
      <w:szCs w:val="20"/>
      <w:lang w:val="et-EE" w:eastAsia="et-EE" w:bidi="ar-SA"/>
    </w:rPr>
  </w:style>
  <w:style w:type="paragraph" w:styleId="ListParagraph">
    <w:name w:val="List Paragraph"/>
    <w:basedOn w:val="Normal"/>
    <w:qFormat/>
    <w:pPr>
      <w:widowControl/>
      <w:spacing w:before="0" w:after="0"/>
      <w:ind w:start="720"/>
      <w:contextualSpacing/>
      <w:jc w:val="start"/>
      <w:textAlignment w:val="auto"/>
    </w:pPr>
    <w:rPr>
      <w:rFonts w:ascii="Arial" w:hAnsi="Arial" w:cs="Times New Roman"/>
      <w:sz w:val="24"/>
      <w:szCs w:val="20"/>
      <w:lang w:val="et-EE" w:eastAsia="en-US" w:bidi="ar-SA"/>
    </w:rPr>
  </w:style>
  <w:style w:type="paragraph" w:styleId="TableGrid">
    <w:name w:val="Table Grid"/>
    <w:basedOn w:val="NormalTable"/>
    <w:qFormat/>
    <w:pPr>
      <w:widowControl/>
      <w:pBdr/>
      <w:jc w:val="start"/>
      <w:textAlignment w:val="auto"/>
    </w:pPr>
    <w:rPr>
      <w:rFonts w:cs="Times New Roman"/>
      <w:sz w:val="20"/>
      <w:szCs w:val="20"/>
      <w:lang w:val="et-EE" w:eastAsia="et-EE" w:bidi="ar-SA"/>
    </w:rPr>
  </w:style>
  <w:style w:type="paragraph" w:styleId="Paneelisisu">
    <w:name w:val="Paneeli sisu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LibreOffice/24.8.0.3$Windows_X86_64 LibreOffice_project/0bdf1299c94fe897b119f97f3c613e9dca6be583</Application>
  <AppVersion>15.0000</AppVersion>
  <Pages>12</Pages>
  <Words>423</Words>
  <Characters>2765</Characters>
  <CharactersWithSpaces>3129</CharactersWithSpaces>
  <Paragraphs>237</Paragraphs>
  <Company>Suure-Jaani Vallavalitsus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2023-04-03T13:04:00Z</dcterms:created>
  <dc:creator>Veronika</dc:creator>
  <dc:description/>
  <dc:language>en-US</dc:language>
  <cp:lastModifiedBy/>
  <cp:lastPrinted>2017-12-15T13:48:00Z</cp:lastPrinted>
  <dcterms:modified xsi:type="dcterms:W3CDTF">2025-03-11T13:48:00Z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Veronika Ling</vt:lpwstr>
  </property>
</Properties>
</file>